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0D92" w14:textId="77777777" w:rsidR="009D742B" w:rsidRDefault="009D742B" w:rsidP="009D742B">
      <w:pPr>
        <w:shd w:val="clear" w:color="auto" w:fill="FFFFFF"/>
        <w:spacing w:before="100" w:beforeAutospacing="1" w:after="100" w:afterAutospacing="1" w:line="240" w:lineRule="auto"/>
        <w:ind w:left="0" w:right="0"/>
        <w:outlineLvl w:val="0"/>
        <w:rPr>
          <w:rFonts w:ascii="Georgia" w:eastAsia="Times New Roman" w:hAnsi="Georgia" w:cs="Times New Roman"/>
          <w:b/>
          <w:bCs w:val="0"/>
          <w:color w:val="1B1B1B"/>
          <w:kern w:val="36"/>
          <w:sz w:val="48"/>
        </w:rPr>
      </w:pPr>
      <w:r>
        <w:rPr>
          <w:rFonts w:ascii="Georgia" w:eastAsia="Times New Roman" w:hAnsi="Georgia" w:cs="Times New Roman"/>
          <w:b/>
          <w:bCs w:val="0"/>
          <w:color w:val="1B1B1B"/>
          <w:kern w:val="36"/>
          <w:sz w:val="48"/>
        </w:rPr>
        <w:t>Emergency Medical Care Coverage</w:t>
      </w:r>
    </w:p>
    <w:p w14:paraId="2526844A" w14:textId="77777777" w:rsidR="009D742B"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Cs w:val="0"/>
          <w:i/>
          <w:iCs/>
          <w:color w:val="1B1B1B"/>
          <w:sz w:val="24"/>
          <w:szCs w:val="24"/>
        </w:rPr>
        <w:t>What to know if you get care outside of VA</w:t>
      </w:r>
    </w:p>
    <w:p w14:paraId="51ADD416" w14:textId="77777777" w:rsidR="009D742B"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Cs w:val="0"/>
          <w:color w:val="1B1B1B"/>
          <w:sz w:val="24"/>
          <w:szCs w:val="24"/>
        </w:rPr>
        <w:t>If you’re experiencing a medical emergency, you shouldn’t hesitate to get emergency care. Call 911 or go to the nearest emergency room quickly. A medical emergency is an injury, illness, or symptom so severe that without immediate treatment, you believe your life or health is in danger.</w:t>
      </w:r>
    </w:p>
    <w:p w14:paraId="14AE3B98" w14:textId="114C81D2" w:rsidR="009D742B"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Cs w:val="0"/>
          <w:color w:val="1B1B1B"/>
          <w:sz w:val="24"/>
          <w:szCs w:val="24"/>
        </w:rPr>
        <w:t xml:space="preserve">Some Veterans live far away from a VA emergency room and need to get care quickly. If you go to a non-VA emergency department for care, VA may still offer coverage.  </w:t>
      </w:r>
      <w:hyperlink r:id="rId6" w:tgtFrame="_self" w:history="1">
        <w:r>
          <w:rPr>
            <w:rStyle w:val="Hyperlink"/>
            <w:rFonts w:ascii="Source Sans Pro" w:eastAsia="Times New Roman" w:hAnsi="Source Sans Pro" w:cs="Times New Roman"/>
            <w:b/>
            <w:bCs w:val="0"/>
            <w:color w:val="205493"/>
            <w:sz w:val="24"/>
            <w:szCs w:val="24"/>
          </w:rPr>
          <w:t>Notifying VA</w:t>
        </w:r>
      </w:hyperlink>
      <w:r>
        <w:rPr>
          <w:rFonts w:ascii="Source Sans Pro" w:eastAsia="Times New Roman" w:hAnsi="Source Sans Pro" w:cs="Times New Roman"/>
          <w:bCs w:val="0"/>
          <w:color w:val="1B1B1B"/>
          <w:sz w:val="24"/>
          <w:szCs w:val="24"/>
        </w:rPr>
        <w:t> is necessary for getting coverage and sharing important medical updates. We have the information you need to make it happen.</w:t>
      </w:r>
    </w:p>
    <w:p w14:paraId="7B30E366" w14:textId="77777777" w:rsidR="009D742B"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Cs w:val="0"/>
          <w:color w:val="1B1B1B"/>
          <w:sz w:val="24"/>
          <w:szCs w:val="24"/>
        </w:rPr>
        <w:t xml:space="preserve">If you live in an area where you may need to seek health care outside of VA, prepare before you go. Locate your closest emergency department so that you don’t have to worry about that during an emergency.     </w:t>
      </w:r>
    </w:p>
    <w:p w14:paraId="1D90AE34" w14:textId="77777777" w:rsidR="009D742B"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
          <w:bCs w:val="0"/>
          <w:color w:val="1B1B1B"/>
          <w:sz w:val="24"/>
          <w:szCs w:val="24"/>
        </w:rPr>
        <w:t xml:space="preserve">Notify VA as soon as possible </w:t>
      </w:r>
      <w:r>
        <w:rPr>
          <w:rFonts w:ascii="Source Sans Pro" w:eastAsia="Times New Roman" w:hAnsi="Source Sans Pro" w:cs="Times New Roman"/>
          <w:bCs w:val="0"/>
          <w:color w:val="1B1B1B"/>
          <w:sz w:val="24"/>
          <w:szCs w:val="24"/>
        </w:rPr>
        <w:t>During a medical or mental health emergency, we encourage you to seek immediate medical attention right away. You don’t need to check with VA before calling 911 or going to an emergency department. But it’s important that the facility treating you notifies VA within 72 hours.</w:t>
      </w:r>
    </w:p>
    <w:p w14:paraId="5277B4F7" w14:textId="77777777" w:rsidR="009D742B"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Cs w:val="0"/>
          <w:color w:val="1B1B1B"/>
          <w:sz w:val="24"/>
          <w:szCs w:val="24"/>
        </w:rPr>
        <w:t>Promptly </w:t>
      </w:r>
      <w:hyperlink r:id="rId7" w:tgtFrame="_self" w:history="1">
        <w:r>
          <w:rPr>
            <w:rStyle w:val="Hyperlink"/>
            <w:rFonts w:ascii="Source Sans Pro" w:eastAsia="Times New Roman" w:hAnsi="Source Sans Pro" w:cs="Times New Roman"/>
            <w:b/>
            <w:bCs w:val="0"/>
            <w:color w:val="205493"/>
            <w:sz w:val="24"/>
            <w:szCs w:val="24"/>
          </w:rPr>
          <w:t>notifying VA</w:t>
        </w:r>
      </w:hyperlink>
      <w:r>
        <w:rPr>
          <w:rFonts w:ascii="Source Sans Pro" w:eastAsia="Times New Roman" w:hAnsi="Source Sans Pro" w:cs="Times New Roman"/>
          <w:bCs w:val="0"/>
          <w:color w:val="1B1B1B"/>
          <w:sz w:val="24"/>
          <w:szCs w:val="24"/>
        </w:rPr>
        <w:t> allows them to coordinate care or transfer to a VA medical facility, if necessary. It helps VA check if the requirements for them to pay for the care are met and may impact a Veteran’s eligibility for coverage.</w:t>
      </w:r>
    </w:p>
    <w:p w14:paraId="55664AC9" w14:textId="77777777" w:rsidR="009D742B"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Cs w:val="0"/>
          <w:color w:val="1B1B1B"/>
          <w:sz w:val="24"/>
          <w:szCs w:val="24"/>
        </w:rPr>
        <w:t>Payment by VA is limited to the time of stabilization except when both of these are true:</w:t>
      </w:r>
    </w:p>
    <w:p w14:paraId="504FDFCE" w14:textId="77777777" w:rsidR="009D742B" w:rsidRDefault="009D742B" w:rsidP="009D742B">
      <w:pPr>
        <w:numPr>
          <w:ilvl w:val="0"/>
          <w:numId w:val="1"/>
        </w:numPr>
        <w:shd w:val="clear" w:color="auto" w:fill="FFFFFF"/>
        <w:spacing w:before="240" w:after="240" w:line="240" w:lineRule="auto"/>
        <w:ind w:left="144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Cs w:val="0"/>
          <w:color w:val="1B1B1B"/>
          <w:sz w:val="24"/>
          <w:szCs w:val="24"/>
        </w:rPr>
        <w:t>VA is contacted upon stabilization but can’t accept the transfer of the Veteran, </w:t>
      </w:r>
      <w:r>
        <w:rPr>
          <w:rFonts w:ascii="Source Sans Pro" w:eastAsia="Times New Roman" w:hAnsi="Source Sans Pro" w:cs="Times New Roman"/>
          <w:b/>
          <w:bCs w:val="0"/>
          <w:color w:val="1B1B1B"/>
          <w:sz w:val="24"/>
          <w:szCs w:val="24"/>
        </w:rPr>
        <w:t>and</w:t>
      </w:r>
    </w:p>
    <w:p w14:paraId="2349B30F" w14:textId="77777777" w:rsidR="009D742B" w:rsidRDefault="009D742B" w:rsidP="009D742B">
      <w:pPr>
        <w:numPr>
          <w:ilvl w:val="0"/>
          <w:numId w:val="2"/>
        </w:numPr>
        <w:shd w:val="clear" w:color="auto" w:fill="FFFFFF"/>
        <w:spacing w:before="240" w:after="240" w:line="240" w:lineRule="auto"/>
        <w:ind w:left="144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Cs w:val="0"/>
          <w:color w:val="1B1B1B"/>
          <w:sz w:val="24"/>
          <w:szCs w:val="24"/>
        </w:rPr>
        <w:t>The community care facility made and documented reasonable attempts to transfer the Veteran to a VA or other facility</w:t>
      </w:r>
    </w:p>
    <w:p w14:paraId="5D671C64" w14:textId="77777777" w:rsidR="009D742B"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
          <w:bCs w:val="0"/>
          <w:color w:val="1B1B1B"/>
          <w:sz w:val="24"/>
          <w:szCs w:val="24"/>
        </w:rPr>
        <w:t>How to notify VA</w:t>
      </w:r>
    </w:p>
    <w:p w14:paraId="57B90F47" w14:textId="582DF5A4" w:rsidR="009D742B"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 w:val="24"/>
          <w:szCs w:val="24"/>
        </w:rPr>
      </w:pPr>
      <w:r>
        <w:rPr>
          <w:rFonts w:ascii="Source Sans Pro" w:eastAsia="Times New Roman" w:hAnsi="Source Sans Pro" w:cs="Times New Roman"/>
          <w:bCs w:val="0"/>
          <w:color w:val="1B1B1B"/>
          <w:sz w:val="24"/>
          <w:szCs w:val="24"/>
        </w:rPr>
        <w:t>It’s best to ask your emergency care provider to report the treatment to </w:t>
      </w:r>
      <w:hyperlink r:id="rId8" w:anchor="/request" w:tgtFrame="_self" w:history="1">
        <w:r>
          <w:rPr>
            <w:rStyle w:val="Hyperlink"/>
            <w:rFonts w:ascii="Source Sans Pro" w:eastAsia="Times New Roman" w:hAnsi="Source Sans Pro" w:cs="Times New Roman"/>
            <w:b/>
            <w:bCs w:val="0"/>
            <w:color w:val="205493"/>
            <w:sz w:val="24"/>
            <w:szCs w:val="24"/>
          </w:rPr>
          <w:t>VA’s Centralized Emergency Care Reporting Center</w:t>
        </w:r>
      </w:hyperlink>
      <w:r>
        <w:rPr>
          <w:rFonts w:ascii="Source Sans Pro" w:eastAsia="Times New Roman" w:hAnsi="Source Sans Pro" w:cs="Times New Roman"/>
          <w:bCs w:val="0"/>
          <w:color w:val="1B1B1B"/>
          <w:sz w:val="24"/>
          <w:szCs w:val="24"/>
        </w:rPr>
        <w:t> as soon as possible. If you’re able, tell your care provider that you’re a Veteran. It’s a good remind caregivers and other family who might be with you in an emergency that they should tell a care provider your Veteran status.</w:t>
      </w:r>
    </w:p>
    <w:p w14:paraId="423E0809" w14:textId="77777777" w:rsidR="003263A8" w:rsidRDefault="009D742B" w:rsidP="009D742B">
      <w:pPr>
        <w:shd w:val="clear" w:color="auto" w:fill="FFFFFF"/>
        <w:spacing w:before="240" w:after="240" w:line="240" w:lineRule="auto"/>
        <w:ind w:left="0" w:right="0"/>
        <w:rPr>
          <w:rFonts w:ascii="Source Sans Pro" w:eastAsia="Times New Roman" w:hAnsi="Source Sans Pro" w:cs="Times New Roman"/>
          <w:bCs w:val="0"/>
          <w:color w:val="1B1B1B"/>
          <w:szCs w:val="28"/>
        </w:rPr>
      </w:pPr>
      <w:r>
        <w:rPr>
          <w:rFonts w:ascii="Source Sans Pro" w:eastAsia="Times New Roman" w:hAnsi="Source Sans Pro" w:cs="Times New Roman"/>
          <w:bCs w:val="0"/>
          <w:color w:val="1B1B1B"/>
          <w:sz w:val="24"/>
          <w:szCs w:val="24"/>
        </w:rPr>
        <w:t>Your emergency care provider should report the treatment using the </w:t>
      </w:r>
      <w:hyperlink r:id="rId9" w:anchor="/request" w:tgtFrame="_self" w:history="1">
        <w:r>
          <w:rPr>
            <w:rStyle w:val="Hyperlink"/>
            <w:rFonts w:ascii="Source Sans Pro" w:eastAsia="Times New Roman" w:hAnsi="Source Sans Pro" w:cs="Times New Roman"/>
            <w:b/>
            <w:bCs w:val="0"/>
            <w:color w:val="205493"/>
            <w:sz w:val="24"/>
            <w:szCs w:val="24"/>
          </w:rPr>
          <w:t>VA Emergency Care Reporting portal</w:t>
        </w:r>
      </w:hyperlink>
      <w:r>
        <w:rPr>
          <w:rFonts w:ascii="Source Sans Pro" w:eastAsia="Times New Roman" w:hAnsi="Source Sans Pro" w:cs="Times New Roman"/>
          <w:bCs w:val="0"/>
          <w:color w:val="1B1B1B"/>
          <w:sz w:val="24"/>
          <w:szCs w:val="24"/>
        </w:rPr>
        <w:t xml:space="preserve"> or </w:t>
      </w:r>
      <w:r w:rsidRPr="009D742B">
        <w:rPr>
          <w:rFonts w:ascii="Source Sans Pro" w:eastAsia="Times New Roman" w:hAnsi="Source Sans Pro" w:cs="Times New Roman"/>
          <w:bCs w:val="0"/>
          <w:color w:val="C00000"/>
          <w:szCs w:val="28"/>
        </w:rPr>
        <w:t>by calling 844-724-7842</w:t>
      </w:r>
      <w:r w:rsidR="003263A8">
        <w:rPr>
          <w:rFonts w:ascii="Source Sans Pro" w:eastAsia="Times New Roman" w:hAnsi="Source Sans Pro" w:cs="Times New Roman"/>
          <w:bCs w:val="0"/>
          <w:color w:val="1B1B1B"/>
          <w:sz w:val="24"/>
          <w:szCs w:val="24"/>
        </w:rPr>
        <w:t xml:space="preserve"> </w:t>
      </w:r>
      <w:r w:rsidR="003263A8">
        <w:rPr>
          <w:rFonts w:ascii="Source Sans Pro" w:eastAsia="Times New Roman" w:hAnsi="Source Sans Pro" w:cs="Times New Roman"/>
          <w:bCs w:val="0"/>
          <w:color w:val="1B1B1B"/>
          <w:szCs w:val="28"/>
        </w:rPr>
        <w:t xml:space="preserve">or </w:t>
      </w:r>
      <w:r w:rsidR="003263A8" w:rsidRPr="003263A8">
        <w:rPr>
          <w:rFonts w:ascii="Source Sans Pro" w:eastAsia="Times New Roman" w:hAnsi="Source Sans Pro" w:cs="Times New Roman"/>
          <w:bCs w:val="0"/>
          <w:color w:val="C00000"/>
          <w:szCs w:val="28"/>
        </w:rPr>
        <w:t>800-698-2411</w:t>
      </w:r>
      <w:r w:rsidR="003263A8">
        <w:rPr>
          <w:rFonts w:ascii="Source Sans Pro" w:eastAsia="Times New Roman" w:hAnsi="Source Sans Pro" w:cs="Times New Roman"/>
          <w:bCs w:val="0"/>
          <w:color w:val="1B1B1B"/>
          <w:szCs w:val="28"/>
        </w:rPr>
        <w:t xml:space="preserve">. </w:t>
      </w:r>
    </w:p>
    <w:p w14:paraId="718C06A9" w14:textId="56419610" w:rsidR="009D742B" w:rsidRPr="003263A8" w:rsidRDefault="003263A8" w:rsidP="009D742B">
      <w:pPr>
        <w:shd w:val="clear" w:color="auto" w:fill="FFFFFF"/>
        <w:spacing w:before="240" w:after="240" w:line="240" w:lineRule="auto"/>
        <w:ind w:left="0" w:right="0"/>
        <w:rPr>
          <w:rFonts w:ascii="Source Sans Pro" w:eastAsia="Times New Roman" w:hAnsi="Source Sans Pro" w:cs="Times New Roman"/>
          <w:bCs w:val="0"/>
          <w:color w:val="C00000"/>
          <w:sz w:val="24"/>
          <w:szCs w:val="24"/>
        </w:rPr>
      </w:pPr>
      <w:r>
        <w:rPr>
          <w:rFonts w:ascii="Source Sans Pro" w:eastAsia="Times New Roman" w:hAnsi="Source Sans Pro" w:cs="Times New Roman"/>
          <w:bCs w:val="0"/>
          <w:color w:val="1B1B1B"/>
          <w:szCs w:val="28"/>
        </w:rPr>
        <w:t xml:space="preserve">You can also do a live Chat during business hours – </w:t>
      </w:r>
      <w:r w:rsidRPr="003263A8">
        <w:rPr>
          <w:rFonts w:ascii="Source Sans Pro" w:eastAsia="Times New Roman" w:hAnsi="Source Sans Pro" w:cs="Times New Roman"/>
          <w:bCs w:val="0"/>
          <w:color w:val="C00000"/>
          <w:szCs w:val="28"/>
        </w:rPr>
        <w:t>988 option #1.</w:t>
      </w:r>
    </w:p>
    <w:p w14:paraId="6C673DF3" w14:textId="4491EE17" w:rsidR="00243875" w:rsidRDefault="003263A8" w:rsidP="003263A8">
      <w:pPr>
        <w:ind w:left="0"/>
      </w:pPr>
      <w:r>
        <w:t>Local Clinics:</w:t>
      </w:r>
    </w:p>
    <w:p w14:paraId="7F21DA63" w14:textId="333FCD80" w:rsidR="003263A8" w:rsidRDefault="003263A8" w:rsidP="003263A8">
      <w:pPr>
        <w:ind w:left="0"/>
      </w:pPr>
      <w:r>
        <w:t xml:space="preserve">Piedmont Urgent Care has 10 locations within </w:t>
      </w:r>
      <w:proofErr w:type="spellStart"/>
      <w:r>
        <w:t>our</w:t>
      </w:r>
      <w:proofErr w:type="spellEnd"/>
      <w:r>
        <w:t xml:space="preserve"> area. Two locations are in Cumming are:</w:t>
      </w:r>
    </w:p>
    <w:p w14:paraId="4AE2B6DB" w14:textId="5120B701" w:rsidR="003263A8" w:rsidRDefault="003263A8" w:rsidP="003263A8">
      <w:pPr>
        <w:ind w:left="0"/>
      </w:pPr>
      <w:r>
        <w:t>880 Buford Highway</w:t>
      </w:r>
    </w:p>
    <w:p w14:paraId="3F420F71" w14:textId="3393D2C7" w:rsidR="003263A8" w:rsidRDefault="003263A8" w:rsidP="003263A8">
      <w:pPr>
        <w:ind w:left="0"/>
      </w:pPr>
      <w:r>
        <w:t>3420 Canton Highway</w:t>
      </w:r>
    </w:p>
    <w:p w14:paraId="1B968629" w14:textId="013A9B06" w:rsidR="003263A8" w:rsidRDefault="003263A8" w:rsidP="003263A8">
      <w:pPr>
        <w:ind w:left="0"/>
      </w:pPr>
    </w:p>
    <w:sectPr w:rsidR="003263A8" w:rsidSect="00EB2367">
      <w:pgSz w:w="12240" w:h="15840"/>
      <w:pgMar w:top="432" w:right="720" w:bottom="720" w:left="43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24F5D"/>
    <w:multiLevelType w:val="multilevel"/>
    <w:tmpl w:val="D92890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F5ED3"/>
    <w:multiLevelType w:val="multilevel"/>
    <w:tmpl w:val="FADED8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23400121">
    <w:abstractNumId w:val="1"/>
  </w:num>
  <w:num w:numId="2" w16cid:durableId="141108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2B"/>
    <w:rsid w:val="001B09C1"/>
    <w:rsid w:val="00243875"/>
    <w:rsid w:val="003263A8"/>
    <w:rsid w:val="00371184"/>
    <w:rsid w:val="005830FB"/>
    <w:rsid w:val="005B5BC2"/>
    <w:rsid w:val="005C3AC6"/>
    <w:rsid w:val="00881FAD"/>
    <w:rsid w:val="009D742B"/>
    <w:rsid w:val="00AF11C8"/>
    <w:rsid w:val="00B4526F"/>
    <w:rsid w:val="00BB48A0"/>
    <w:rsid w:val="00DC6600"/>
    <w:rsid w:val="00EB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234F"/>
  <w15:chartTrackingRefBased/>
  <w15:docId w15:val="{BFBA4BA1-1BAF-4401-951F-FA79F6B3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bCs/>
        <w:color w:val="000000"/>
        <w:sz w:val="28"/>
        <w:szCs w:val="48"/>
        <w:lang w:val="en-US" w:eastAsia="en-US" w:bidi="ar-SA"/>
      </w:rPr>
    </w:rPrDefault>
    <w:pPrDefault>
      <w:pPr>
        <w:spacing w:after="160" w:line="259" w:lineRule="auto"/>
        <w:ind w:left="720" w:right="129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2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74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8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rgencycarereporting.communitycare.va.gov/" TargetMode="External"/><Relationship Id="rId3" Type="http://schemas.openxmlformats.org/officeDocument/2006/relationships/styles" Target="styles.xml"/><Relationship Id="rId7" Type="http://schemas.openxmlformats.org/officeDocument/2006/relationships/hyperlink" Target="https://www.va.gov/COMMUNITYCARE/programs/veterans/Emergency-Care.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a.gov/COMMUNITYCARE/programs/veterans/Emergency-Care.as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ergencycarereporting.communitycare.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2BB4D-C1C1-4E05-A638-30FEFAA5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Burns</dc:creator>
  <cp:keywords/>
  <dc:description/>
  <cp:lastModifiedBy>Dave Burns</cp:lastModifiedBy>
  <cp:revision>2</cp:revision>
  <dcterms:created xsi:type="dcterms:W3CDTF">2025-09-14T14:35:00Z</dcterms:created>
  <dcterms:modified xsi:type="dcterms:W3CDTF">2025-09-14T14:35:00Z</dcterms:modified>
</cp:coreProperties>
</file>